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015B" w14:textId="77777777" w:rsidR="00EA0F2C" w:rsidRDefault="00EA0F2C" w:rsidP="00EA0F2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ANEXO: FORMULARIO DEUC</w:t>
      </w:r>
    </w:p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Parte I: Información sobre el procedimiento de contratación y el </w:t>
      </w:r>
      <w:proofErr w:type="gramStart"/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poder adjudicador o la entidad adjudicadora</w:t>
      </w:r>
      <w:proofErr w:type="gramEnd"/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 no hay convocatoria de licitación en el Diario Oficial de la Unión Europea, o si no hay obligación de publicar en ese medio,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BDFAB32" w14:textId="0E48F358" w:rsidR="00462590" w:rsidRPr="00462590" w:rsidRDefault="000A1FD6" w:rsidP="00462590">
      <w:pPr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8538D3" w:rsidRPr="008538D3">
        <w:rPr>
          <w:rFonts w:ascii="Open Sans" w:eastAsia="Open Sans" w:hAnsi="Open Sans" w:cs="Open Sans"/>
          <w:b/>
          <w:color w:val="000000"/>
          <w:sz w:val="22"/>
          <w:szCs w:val="22"/>
        </w:rPr>
        <w:t>Fundación Fulgencio Meseguer</w:t>
      </w:r>
    </w:p>
    <w:p w14:paraId="1E29BABE" w14:textId="2EB78996" w:rsidR="00870DBE" w:rsidRPr="00B0710E" w:rsidRDefault="00870DBE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1F68D190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DC0056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8531372" w14:textId="77777777" w:rsidR="00B0710E" w:rsidRPr="006A3217" w:rsidRDefault="00B0710E" w:rsidP="007853C1">
      <w:pPr>
        <w:jc w:val="both"/>
        <w:rPr>
          <w:rFonts w:ascii="Arial" w:eastAsia="Open Sans" w:hAnsi="Arial" w:cs="Arial"/>
          <w:b/>
          <w:color w:val="000000"/>
          <w:sz w:val="22"/>
          <w:szCs w:val="22"/>
          <w:u w:val="single"/>
        </w:rPr>
      </w:pPr>
    </w:p>
    <w:p w14:paraId="2C6CDCB2" w14:textId="1D445211" w:rsidR="00A930FB" w:rsidRPr="00A930FB" w:rsidRDefault="00A930FB" w:rsidP="00A930FB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b/>
          <w:bCs/>
        </w:rPr>
      </w:pPr>
      <w:r w:rsidRPr="00A930FB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T</w:t>
      </w:r>
      <w:r w:rsidR="000A1FD6" w:rsidRPr="00A930FB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ítulo</w:t>
      </w:r>
      <w:r w:rsidR="000E5967" w:rsidRPr="00A930FB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462590" w:rsidRPr="00462590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CONTRATACIÓN DE LOS </w:t>
      </w:r>
      <w:r w:rsidR="005B64A1" w:rsidRPr="005B64A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SERVICIOS </w:t>
      </w:r>
      <w:r w:rsidR="008538D3" w:rsidRPr="008538D3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ESPECIALIZADOS DE FORMACIÓN, ASESORAMIENTO Y COMUNICACIÓN PARA EL PROYECTO 123 EMPRENDE </w:t>
      </w:r>
      <w:r w:rsidR="00A36E80">
        <w:rPr>
          <w:rFonts w:ascii="Open Sans" w:eastAsia="Open Sans" w:hAnsi="Open Sans" w:cs="Open Sans"/>
          <w:b/>
          <w:color w:val="000000"/>
          <w:sz w:val="20"/>
          <w:szCs w:val="20"/>
        </w:rPr>
        <w:t>AUTOEMPLEO</w:t>
      </w:r>
      <w:r w:rsidR="008538D3" w:rsidRPr="008538D3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EN EL MARCO DE LA CONVOCATORIA DE </w:t>
      </w:r>
      <w:r w:rsidR="00A36E80" w:rsidRPr="00A36E80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AUTOEMPLEO E INICIATIVAS EMPRESARIALES </w:t>
      </w:r>
      <w:r w:rsidR="008538D3" w:rsidRPr="008538D3">
        <w:rPr>
          <w:rFonts w:ascii="Open Sans" w:eastAsia="Open Sans" w:hAnsi="Open Sans" w:cs="Open Sans"/>
          <w:b/>
          <w:color w:val="000000"/>
          <w:sz w:val="20"/>
          <w:szCs w:val="20"/>
        </w:rPr>
        <w:t>FSE+ 2021 - 2027</w:t>
      </w:r>
    </w:p>
    <w:p w14:paraId="2ABD7849" w14:textId="675B60D1" w:rsidR="00D808A8" w:rsidRPr="00A930FB" w:rsidRDefault="00D808A8" w:rsidP="00A930FB">
      <w:pP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3F736ECD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signado por el </w:t>
      </w:r>
      <w:proofErr w:type="gramStart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(</w:t>
      </w:r>
      <w:r w:rsidRPr="0010003E">
        <w:rPr>
          <w:rFonts w:ascii="Open Sans" w:eastAsia="Open Sans" w:hAnsi="Open Sans" w:cs="Open Sans"/>
          <w:b/>
          <w:color w:val="000000"/>
          <w:sz w:val="22"/>
          <w:szCs w:val="22"/>
        </w:rPr>
        <w:t>en su caso):</w:t>
      </w:r>
      <w:r w:rsidRPr="0010003E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A36E80">
        <w:rPr>
          <w:rFonts w:asciiTheme="minorHAnsi" w:hAnsiTheme="minorHAnsi" w:cstheme="minorHAnsi"/>
          <w:bCs/>
          <w:sz w:val="22"/>
          <w:szCs w:val="22"/>
        </w:rPr>
        <w:t>E</w:t>
      </w:r>
      <w:r w:rsidR="008538D3" w:rsidRPr="006C77B5">
        <w:rPr>
          <w:rFonts w:asciiTheme="minorHAnsi" w:hAnsiTheme="minorHAnsi" w:cstheme="minorHAnsi"/>
          <w:bCs/>
          <w:sz w:val="22"/>
          <w:szCs w:val="22"/>
        </w:rPr>
        <w:t>0325MEN075AND-2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B: Información sobre los representantes del operador </w:t>
      </w:r>
      <w:proofErr w:type="gramStart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económico  #</w:t>
      </w:r>
      <w:proofErr w:type="gramEnd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personal técnico u organismos técnicos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que no estén integrados directamente en la empresa del operador económico, y especialmente los responsables del control de la calidad y, cuando se trate de contratos públicos de obras,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personal técnico o los organismos técnicos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(Esta sección se cumplimentará únicamente si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de  administración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 xml:space="preserve">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c) no ha podido presentar sin demora los documentos justificativos exigidos por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lastRenderedPageBreak/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564CB90F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Esta información, ¿está disponible sin costes para las autoridades en una base de datos de un Estado miembro de la UE?</w:t>
      </w:r>
      <w:r w:rsidR="00311AE4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b) A partir del 18 de octubre de 2018 a más tardar (dependiendo de la aplicación a nivel nacional del artículo 59, apartado 5, párrafo segundo, de la Directiva 2014/24/UE), el 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32990648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</w:t>
      </w:r>
      <w:r w:rsidR="00D301F3">
        <w:rPr>
          <w:rFonts w:ascii="Open Sans" w:eastAsia="Open Sans" w:hAnsi="Open Sans" w:cs="Open Sans"/>
          <w:b/>
          <w:color w:val="000000"/>
          <w:sz w:val="22"/>
          <w:szCs w:val="22"/>
        </w:rPr>
        <w:t>Fundación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DCD73" w14:textId="77777777" w:rsidR="00EC0EDA" w:rsidRDefault="00EC0EDA">
      <w:r>
        <w:separator/>
      </w:r>
    </w:p>
  </w:endnote>
  <w:endnote w:type="continuationSeparator" w:id="0">
    <w:p w14:paraId="6CA12C04" w14:textId="77777777" w:rsidR="00EC0EDA" w:rsidRDefault="00EC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1998D" w14:textId="77777777" w:rsidR="00EC0EDA" w:rsidRDefault="00EC0EDA">
      <w:r>
        <w:separator/>
      </w:r>
    </w:p>
  </w:footnote>
  <w:footnote w:type="continuationSeparator" w:id="0">
    <w:p w14:paraId="684D283E" w14:textId="77777777" w:rsidR="00EC0EDA" w:rsidRDefault="00EC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98D1" w14:textId="77EBBB13" w:rsidR="005478AD" w:rsidRDefault="008538D3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974B9B8" wp14:editId="69D36C72">
          <wp:simplePos x="0" y="0"/>
          <wp:positionH relativeFrom="margin">
            <wp:align>center</wp:align>
          </wp:positionH>
          <wp:positionV relativeFrom="paragraph">
            <wp:posOffset>-934085</wp:posOffset>
          </wp:positionV>
          <wp:extent cx="6670040" cy="453390"/>
          <wp:effectExtent l="0" t="0" r="0" b="0"/>
          <wp:wrapNone/>
          <wp:docPr id="110332969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401437" name="Imagen 15284014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004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56490746">
    <w:abstractNumId w:val="1"/>
  </w:num>
  <w:num w:numId="2" w16cid:durableId="430666254">
    <w:abstractNumId w:val="2"/>
  </w:num>
  <w:num w:numId="3" w16cid:durableId="1559509435">
    <w:abstractNumId w:val="0"/>
  </w:num>
  <w:num w:numId="4" w16cid:durableId="1960186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1267"/>
    <w:rsid w:val="00071D88"/>
    <w:rsid w:val="00097881"/>
    <w:rsid w:val="000A1FD6"/>
    <w:rsid w:val="000E5967"/>
    <w:rsid w:val="000F4453"/>
    <w:rsid w:val="0010003E"/>
    <w:rsid w:val="00115180"/>
    <w:rsid w:val="00163DBE"/>
    <w:rsid w:val="0016658E"/>
    <w:rsid w:val="00180C92"/>
    <w:rsid w:val="001820F1"/>
    <w:rsid w:val="0019589C"/>
    <w:rsid w:val="001F1A49"/>
    <w:rsid w:val="002158A4"/>
    <w:rsid w:val="002430AC"/>
    <w:rsid w:val="00274C43"/>
    <w:rsid w:val="002C1DD8"/>
    <w:rsid w:val="002D7DF8"/>
    <w:rsid w:val="00311AE4"/>
    <w:rsid w:val="00317425"/>
    <w:rsid w:val="00322106"/>
    <w:rsid w:val="0037646E"/>
    <w:rsid w:val="003B6E86"/>
    <w:rsid w:val="00405F76"/>
    <w:rsid w:val="00446A90"/>
    <w:rsid w:val="00462590"/>
    <w:rsid w:val="00522897"/>
    <w:rsid w:val="005478AD"/>
    <w:rsid w:val="00564DA0"/>
    <w:rsid w:val="005A173A"/>
    <w:rsid w:val="005B64A1"/>
    <w:rsid w:val="005B704E"/>
    <w:rsid w:val="006263E1"/>
    <w:rsid w:val="00634C55"/>
    <w:rsid w:val="006A3217"/>
    <w:rsid w:val="006A7A10"/>
    <w:rsid w:val="006C1247"/>
    <w:rsid w:val="006E2875"/>
    <w:rsid w:val="007100AE"/>
    <w:rsid w:val="007853C1"/>
    <w:rsid w:val="007B1DD6"/>
    <w:rsid w:val="007B4989"/>
    <w:rsid w:val="007C1C05"/>
    <w:rsid w:val="00803F5C"/>
    <w:rsid w:val="008538D3"/>
    <w:rsid w:val="00870DBE"/>
    <w:rsid w:val="00871E08"/>
    <w:rsid w:val="008B180E"/>
    <w:rsid w:val="008C647C"/>
    <w:rsid w:val="00967A9B"/>
    <w:rsid w:val="009863C2"/>
    <w:rsid w:val="00A36E80"/>
    <w:rsid w:val="00A4110B"/>
    <w:rsid w:val="00A454AB"/>
    <w:rsid w:val="00A930FB"/>
    <w:rsid w:val="00AB117E"/>
    <w:rsid w:val="00AF49C6"/>
    <w:rsid w:val="00B03B45"/>
    <w:rsid w:val="00B0710E"/>
    <w:rsid w:val="00B103E0"/>
    <w:rsid w:val="00B35174"/>
    <w:rsid w:val="00B80499"/>
    <w:rsid w:val="00B87A26"/>
    <w:rsid w:val="00BB1BBD"/>
    <w:rsid w:val="00C069C4"/>
    <w:rsid w:val="00C418C6"/>
    <w:rsid w:val="00C55FB9"/>
    <w:rsid w:val="00C90466"/>
    <w:rsid w:val="00CD31D9"/>
    <w:rsid w:val="00D301F3"/>
    <w:rsid w:val="00D808A8"/>
    <w:rsid w:val="00E02CBF"/>
    <w:rsid w:val="00E50632"/>
    <w:rsid w:val="00E50760"/>
    <w:rsid w:val="00E51A9F"/>
    <w:rsid w:val="00E5520F"/>
    <w:rsid w:val="00EA0F2C"/>
    <w:rsid w:val="00EC0EDA"/>
    <w:rsid w:val="00EC26D6"/>
    <w:rsid w:val="00ED00EA"/>
    <w:rsid w:val="00EF0881"/>
    <w:rsid w:val="00F83F2C"/>
    <w:rsid w:val="00F959CD"/>
    <w:rsid w:val="00FA28CD"/>
    <w:rsid w:val="00F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3353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Francisco García Vena</cp:lastModifiedBy>
  <cp:revision>13</cp:revision>
  <dcterms:created xsi:type="dcterms:W3CDTF">2023-03-30T18:01:00Z</dcterms:created>
  <dcterms:modified xsi:type="dcterms:W3CDTF">2025-06-03T14:23:00Z</dcterms:modified>
</cp:coreProperties>
</file>